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B2" w:rsidRDefault="00953BB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53BB2" w:rsidRDefault="00953BB2">
      <w:pPr>
        <w:pStyle w:val="ConsPlusNormal"/>
        <w:jc w:val="both"/>
        <w:outlineLvl w:val="0"/>
      </w:pPr>
    </w:p>
    <w:p w:rsidR="00953BB2" w:rsidRDefault="00953BB2">
      <w:pPr>
        <w:pStyle w:val="ConsPlusTitle"/>
        <w:jc w:val="center"/>
        <w:outlineLvl w:val="0"/>
      </w:pPr>
      <w:r>
        <w:t>МИНИСТЕРСТВО ЭКОНОМИЧЕСКОГО РАЗВИТИЯ РЯЗАНСКОЙ ОБЛАСТИ</w:t>
      </w:r>
    </w:p>
    <w:p w:rsidR="00953BB2" w:rsidRDefault="00953BB2">
      <w:pPr>
        <w:pStyle w:val="ConsPlusTitle"/>
        <w:jc w:val="center"/>
      </w:pPr>
    </w:p>
    <w:p w:rsidR="00953BB2" w:rsidRDefault="00953BB2">
      <w:pPr>
        <w:pStyle w:val="ConsPlusTitle"/>
        <w:jc w:val="center"/>
      </w:pPr>
      <w:r>
        <w:t>ПОСТАНОВЛЕНИЕ</w:t>
      </w:r>
    </w:p>
    <w:p w:rsidR="00953BB2" w:rsidRDefault="00953BB2">
      <w:pPr>
        <w:pStyle w:val="ConsPlusTitle"/>
        <w:jc w:val="center"/>
      </w:pPr>
      <w:r>
        <w:t>от 24 октября 2022 г. N 22</w:t>
      </w:r>
    </w:p>
    <w:p w:rsidR="00953BB2" w:rsidRDefault="00953BB2">
      <w:pPr>
        <w:pStyle w:val="ConsPlusTitle"/>
        <w:jc w:val="center"/>
      </w:pPr>
    </w:p>
    <w:p w:rsidR="00953BB2" w:rsidRDefault="00953BB2">
      <w:pPr>
        <w:pStyle w:val="ConsPlusTitle"/>
        <w:jc w:val="center"/>
      </w:pPr>
      <w:r>
        <w:t>ОБ УТВЕРЖДЕНИИ ПОРЯДКА ОЦЕНКИ ИНВЕСТИЦИОННОГО ПРОЕКТА,</w:t>
      </w:r>
    </w:p>
    <w:p w:rsidR="00953BB2" w:rsidRDefault="00953BB2">
      <w:pPr>
        <w:pStyle w:val="ConsPlusTitle"/>
        <w:jc w:val="center"/>
      </w:pPr>
      <w:r>
        <w:t>В ОТНОШЕНИИ КОТОРОГО ПЛАНИРУЕТСЯ ЗАКЛЮЧЕНИЕ СОГЛАШЕНИЯ</w:t>
      </w:r>
    </w:p>
    <w:p w:rsidR="00953BB2" w:rsidRDefault="00953BB2">
      <w:pPr>
        <w:pStyle w:val="ConsPlusTitle"/>
        <w:jc w:val="center"/>
      </w:pPr>
      <w:r>
        <w:t>О ЗАЩИТЕ И ПООЩРЕНИИ КАПИТАЛОВЛОЖЕНИЙ, НА ПРЕДМЕТ</w:t>
      </w:r>
    </w:p>
    <w:p w:rsidR="00953BB2" w:rsidRDefault="00953BB2">
      <w:pPr>
        <w:pStyle w:val="ConsPlusTitle"/>
        <w:jc w:val="center"/>
      </w:pPr>
      <w:r>
        <w:t>ЭФФЕКТИВНОГО ИСПОЛЬЗОВАНИЯ СРЕДСТВ БЮДЖЕТА РЯЗАНСКОЙ ОБЛАСТИ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 апреля 2020 г. N 69-ФЗ "О защите и поощрении капиталовложений в Российской Федерации", </w:t>
      </w:r>
      <w:hyperlink r:id="rId7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13 сентября 2022 г. N 1602 "О соглашениях о защите и поощрении капиталовложений", </w:t>
      </w:r>
      <w:hyperlink r:id="rId8">
        <w:r>
          <w:rPr>
            <w:color w:val="0000FF"/>
          </w:rPr>
          <w:t>распоряжением</w:t>
        </w:r>
      </w:hyperlink>
      <w:r>
        <w:t xml:space="preserve"> от 20 октября 2022 г. N 554-р министерство экономического развития Рязанской области постановляет: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29">
        <w:r>
          <w:rPr>
            <w:color w:val="0000FF"/>
          </w:rPr>
          <w:t>Порядок</w:t>
        </w:r>
      </w:hyperlink>
      <w:r>
        <w:t xml:space="preserve">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бюджета Рязанской области согласно приложению к настоящему постановлению.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2. Контроль за исполнением настоящего постановления оставляю за собой.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jc w:val="right"/>
      </w:pPr>
      <w:r>
        <w:t>Министр экономического развития</w:t>
      </w:r>
    </w:p>
    <w:p w:rsidR="00953BB2" w:rsidRDefault="00953BB2">
      <w:pPr>
        <w:pStyle w:val="ConsPlusNormal"/>
        <w:jc w:val="right"/>
      </w:pPr>
      <w:r>
        <w:t>Рязанской области</w:t>
      </w:r>
    </w:p>
    <w:p w:rsidR="00953BB2" w:rsidRDefault="00953BB2">
      <w:pPr>
        <w:pStyle w:val="ConsPlusNormal"/>
        <w:jc w:val="right"/>
      </w:pPr>
      <w:r>
        <w:t>А.В.ВОРФОЛОМЕЕВ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jc w:val="right"/>
        <w:outlineLvl w:val="0"/>
      </w:pPr>
      <w:r>
        <w:t>Приложение</w:t>
      </w:r>
    </w:p>
    <w:p w:rsidR="00953BB2" w:rsidRDefault="00953BB2">
      <w:pPr>
        <w:pStyle w:val="ConsPlusNormal"/>
        <w:jc w:val="right"/>
      </w:pPr>
      <w:r>
        <w:t>к Постановлению</w:t>
      </w:r>
    </w:p>
    <w:p w:rsidR="00953BB2" w:rsidRDefault="00953BB2">
      <w:pPr>
        <w:pStyle w:val="ConsPlusNormal"/>
        <w:jc w:val="right"/>
      </w:pPr>
      <w:r>
        <w:t>министерства экономического</w:t>
      </w:r>
    </w:p>
    <w:p w:rsidR="00953BB2" w:rsidRDefault="00953BB2">
      <w:pPr>
        <w:pStyle w:val="ConsPlusNormal"/>
        <w:jc w:val="right"/>
      </w:pPr>
      <w:r>
        <w:t>развития Рязанской области</w:t>
      </w:r>
    </w:p>
    <w:p w:rsidR="00953BB2" w:rsidRDefault="00953BB2">
      <w:pPr>
        <w:pStyle w:val="ConsPlusNormal"/>
        <w:jc w:val="right"/>
      </w:pPr>
      <w:r>
        <w:t>от 24 октября 2022 г. N 22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Title"/>
        <w:jc w:val="center"/>
      </w:pPr>
      <w:bookmarkStart w:id="0" w:name="P29"/>
      <w:bookmarkEnd w:id="0"/>
      <w:r>
        <w:t>ПОРЯДОК</w:t>
      </w:r>
    </w:p>
    <w:p w:rsidR="00953BB2" w:rsidRDefault="00953BB2">
      <w:pPr>
        <w:pStyle w:val="ConsPlusTitle"/>
        <w:jc w:val="center"/>
      </w:pPr>
      <w:r>
        <w:t>ОЦЕНКИ ИНВЕСТИЦИОННОГО ПРОЕКТА, В ОТНОШЕНИИ КОТОРОГО</w:t>
      </w:r>
    </w:p>
    <w:p w:rsidR="00953BB2" w:rsidRDefault="00953BB2">
      <w:pPr>
        <w:pStyle w:val="ConsPlusTitle"/>
        <w:jc w:val="center"/>
      </w:pPr>
      <w:r>
        <w:t>ПЛАНИРУЕТСЯ ЗАКЛЮЧЕНИЕ СОГЛАШЕНИЯ О ЗАЩИТЕ И ПООЩРЕНИИ</w:t>
      </w:r>
    </w:p>
    <w:p w:rsidR="00953BB2" w:rsidRDefault="00953BB2">
      <w:pPr>
        <w:pStyle w:val="ConsPlusTitle"/>
        <w:jc w:val="center"/>
      </w:pPr>
      <w:r>
        <w:t>КАПИТАЛОВЛОЖЕНИЙ, НА ПРЕДМЕТ ЭФФЕКТИВНОГО ИСПОЛЬЗОВАНИЯ</w:t>
      </w:r>
    </w:p>
    <w:p w:rsidR="00953BB2" w:rsidRDefault="00953BB2">
      <w:pPr>
        <w:pStyle w:val="ConsPlusTitle"/>
        <w:jc w:val="center"/>
      </w:pPr>
      <w:r>
        <w:t>СРЕДСТВ БЮДЖЕТА РЯЗАНСКОЙ ОБЛАСТИ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Title"/>
        <w:jc w:val="center"/>
        <w:outlineLvl w:val="1"/>
      </w:pPr>
      <w:r>
        <w:t>1. Общие положения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ind w:firstLine="540"/>
        <w:jc w:val="both"/>
      </w:pPr>
      <w:r>
        <w:t xml:space="preserve">1.1. Настоящий Порядок определяет процедуру проведения оценки инвестиционного проекта, в отношении которого планируется заключение соглашения о защите и поощрении капиталовложений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1 апреля 2020 г. N 69-ФЗ "О защите и поощрении капиталовложений в Российской Федерации" (далее - Федеральный закон) на предмет эффективного использования средств бюджета Рязанской области в целях применения мер государственной поддержки (далее - оценка инвестиционного проекта).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1.2. В настоящем Порядке используются основные понятия, определенные Федеральным законом.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1.3. Оценка инвестиционного проекта проводится органом исполнительной власти Рязанской области, уполномоченным Правительством Рязанской области на подписание соглашений о защите и поощрении капиталовложений, стороной которых является Рязанская область и не является Российская Федерация (далее - уполномоченный орган).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lastRenderedPageBreak/>
        <w:t xml:space="preserve">1.4. Уполномоченный орган осуществляет оценку инвестиционного проекта, которая включает в себя подготовку на него заключения, содержащего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бюджета Рязанской области в целях применения мер государственной поддержки, указанных в </w:t>
      </w:r>
      <w:hyperlink r:id="rId10">
        <w:r>
          <w:rPr>
            <w:color w:val="0000FF"/>
          </w:rPr>
          <w:t>статье 15</w:t>
        </w:r>
      </w:hyperlink>
      <w:r>
        <w:t xml:space="preserve"> Федерального закона.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1.5. Инвестиционный проект подлежит оценке по следующим критериям эффективности использования средств бюджета Рязанской области (далее - критерии):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- социальная эффективность;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- экономическая эффективность;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- бюджетная эффективность.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Title"/>
        <w:jc w:val="center"/>
        <w:outlineLvl w:val="1"/>
      </w:pPr>
      <w:r>
        <w:t>2. Порядок подготовки заключения, содержащего вывод</w:t>
      </w:r>
    </w:p>
    <w:p w:rsidR="00953BB2" w:rsidRDefault="00953BB2">
      <w:pPr>
        <w:pStyle w:val="ConsPlusTitle"/>
        <w:jc w:val="center"/>
      </w:pPr>
      <w:r>
        <w:t>о соответствии или несоответствии инвестиционного проекта</w:t>
      </w:r>
    </w:p>
    <w:p w:rsidR="00953BB2" w:rsidRDefault="00953BB2">
      <w:pPr>
        <w:pStyle w:val="ConsPlusTitle"/>
        <w:jc w:val="center"/>
      </w:pPr>
      <w:r>
        <w:t>критериям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ind w:firstLine="540"/>
        <w:jc w:val="both"/>
      </w:pPr>
      <w:r>
        <w:t xml:space="preserve">2.1. Заявление о заключении соглашения о защите и поощрении капиталовложений с приложением документов, указанных в </w:t>
      </w:r>
      <w:hyperlink r:id="rId11">
        <w:r>
          <w:rPr>
            <w:color w:val="0000FF"/>
          </w:rPr>
          <w:t>части 7 статьи 7</w:t>
        </w:r>
      </w:hyperlink>
      <w:r>
        <w:t xml:space="preserve"> Федерального закона, направляется инвестором в уполномоченный орган в соответствии с </w:t>
      </w:r>
      <w:hyperlink r:id="rId12">
        <w:r>
          <w:rPr>
            <w:color w:val="0000FF"/>
          </w:rPr>
          <w:t>частью 7 статьи 4</w:t>
        </w:r>
      </w:hyperlink>
      <w:r>
        <w:t xml:space="preserve"> Федерального закона (далее - заявление).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2.2. Уполномоченный орган для организации процедуры проведения оценки инвестиционного проекта в течение двух рабочих дней со дня получения заявления и приложенных к нему документов направляет их в исполнительный орган государственной власти Рязанской области, осуществляющий полномочия в сфере, в которой реализуется (планируется к реализации) инвестиционный проект (далее - отраслевой орган), в министерство финансов Рязанской области.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2.3. Отраслевой орган в течение 10 рабочих дней со дня поступления на рассмотрение заявления и приложенных к нему документов направляет в уполномоченный орган заключение, содержащее вывод о соответствии или несоответствии инвестиционного проекта эффективному использованию средств бюджета Рязанской области по критерию социальной эффективности.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2.4. Уполномоченный орган готовит заключение, содержащее вывод о соответствии или несоответствии инвестиционного проекта эффективному использованию средств бюджета Рязанской области по критерию экономической эффективности.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2.5. Министерство финансов Рязанской области в течение 10 рабочих дней со дня поступления на рассмотрение заявления и приложенных к нему документов направляет в уполномоченный орган заключение, содержащее информацию о наличии или возможности планирования в бюджете Рязанской области расходов в целях возмещения затрат и о соответствии инвестиционного проекта по критерию бюджетной эффективности.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 xml:space="preserve">2.6. На основании заключений, содержащих выводы о соответствии или несоответствии инвестиционного проекта эффективному использованию средств бюджета Рязанской области по критериям социальной, экономической, бюджетной эффективности, уполномоченный орган в течение 5 рабочих дней готовит заключение, содержащее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бюджета Рязанской области в целях применения мер государственной поддержки, указанных в </w:t>
      </w:r>
      <w:hyperlink r:id="rId13">
        <w:r>
          <w:rPr>
            <w:color w:val="0000FF"/>
          </w:rPr>
          <w:t>статье 15</w:t>
        </w:r>
      </w:hyperlink>
      <w:r>
        <w:t xml:space="preserve"> Федерального закона.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 xml:space="preserve">При наличии отрицательного заключения инвестиционного проекта по одному из критериев уполномоченный орган готовит отрицательное заключение инвестиционного проекта эффективного использования средств бюджета Рязанской области в целях применения мер государственной поддержки, указанных в </w:t>
      </w:r>
      <w:hyperlink r:id="rId14">
        <w:r>
          <w:rPr>
            <w:color w:val="0000FF"/>
          </w:rPr>
          <w:t>статье 15</w:t>
        </w:r>
      </w:hyperlink>
      <w:r>
        <w:t xml:space="preserve"> Федерального закона.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 xml:space="preserve">2.7. Уполномоченный орган направляет копию заключения на инвестиционный проект в организацию, реализующую (планирующую к реализации) проект, и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в сроки, установленные Федеральным </w:t>
      </w:r>
      <w:hyperlink r:id="rId15">
        <w:r>
          <w:rPr>
            <w:color w:val="0000FF"/>
          </w:rPr>
          <w:t>законом</w:t>
        </w:r>
      </w:hyperlink>
      <w:r>
        <w:t>.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Title"/>
        <w:jc w:val="center"/>
        <w:outlineLvl w:val="1"/>
      </w:pPr>
      <w:r>
        <w:lastRenderedPageBreak/>
        <w:t>3. Критерии эффективного использования средств областного</w:t>
      </w:r>
    </w:p>
    <w:p w:rsidR="00953BB2" w:rsidRDefault="00953BB2">
      <w:pPr>
        <w:pStyle w:val="ConsPlusTitle"/>
        <w:jc w:val="center"/>
      </w:pPr>
      <w:r>
        <w:t>бюджета в целях применения мер государственной поддержки,</w:t>
      </w:r>
    </w:p>
    <w:p w:rsidR="00953BB2" w:rsidRDefault="00953BB2">
      <w:pPr>
        <w:pStyle w:val="ConsPlusTitle"/>
        <w:jc w:val="center"/>
      </w:pPr>
      <w:r>
        <w:t>осуществляемых в рамках соглашений о защите и поощрении</w:t>
      </w:r>
    </w:p>
    <w:p w:rsidR="00953BB2" w:rsidRDefault="00953BB2">
      <w:pPr>
        <w:pStyle w:val="ConsPlusTitle"/>
        <w:jc w:val="center"/>
      </w:pPr>
      <w:r>
        <w:t>капиталовложений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ind w:firstLine="540"/>
        <w:jc w:val="both"/>
      </w:pPr>
      <w:r>
        <w:t>3.1. Инвестиционные проекты оцениваются по критериям социальной, экономической и бюджетной эффективности.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3.2. Под социальной эффективностью инвестиционного проекта понимаются социально-экономические последствия реализации инвестиционного проекта для общества.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Расчет социальной эффективности инвестиционного проекта проводится по формуле: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jc w:val="center"/>
      </w:pPr>
      <w:r>
        <w:t>К</w:t>
      </w:r>
      <w:r>
        <w:rPr>
          <w:vertAlign w:val="subscript"/>
        </w:rPr>
        <w:t>сэ</w:t>
      </w:r>
      <w:r>
        <w:t xml:space="preserve"> = И</w:t>
      </w:r>
      <w:r>
        <w:rPr>
          <w:vertAlign w:val="subscript"/>
        </w:rPr>
        <w:t>1</w:t>
      </w:r>
      <w:r>
        <w:t xml:space="preserve"> + И</w:t>
      </w:r>
      <w:r>
        <w:rPr>
          <w:vertAlign w:val="subscript"/>
        </w:rPr>
        <w:t>2</w:t>
      </w:r>
      <w:r>
        <w:t xml:space="preserve"> + И</w:t>
      </w:r>
      <w:r>
        <w:rPr>
          <w:vertAlign w:val="subscript"/>
        </w:rPr>
        <w:t>3</w:t>
      </w:r>
      <w:r>
        <w:t>,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ind w:firstLine="540"/>
        <w:jc w:val="both"/>
      </w:pPr>
      <w:r>
        <w:t>где: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К</w:t>
      </w:r>
      <w:r>
        <w:rPr>
          <w:vertAlign w:val="subscript"/>
        </w:rPr>
        <w:t>СЭ</w:t>
      </w:r>
      <w:r>
        <w:t xml:space="preserve"> - критерий социальной эффективности инвестиционного проекта;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И</w:t>
      </w:r>
      <w:r>
        <w:rPr>
          <w:vertAlign w:val="subscript"/>
        </w:rPr>
        <w:t>1</w:t>
      </w:r>
      <w:r>
        <w:t xml:space="preserve"> - индикатор соответствия;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И</w:t>
      </w:r>
      <w:r>
        <w:rPr>
          <w:vertAlign w:val="subscript"/>
        </w:rPr>
        <w:t>2</w:t>
      </w:r>
      <w:r>
        <w:t xml:space="preserve"> - индикатор создания рабочих мест в рамках реализации инвестиционного проекта;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И</w:t>
      </w:r>
      <w:r>
        <w:rPr>
          <w:vertAlign w:val="subscript"/>
        </w:rPr>
        <w:t>3</w:t>
      </w:r>
      <w:r>
        <w:t xml:space="preserve"> - индикатор уровня заработной платы в рамках реализации инвестиционного проекта.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Значение индикаторов социальной эффективности инвестиционных проектов определяется с помощью таблицы.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jc w:val="right"/>
      </w:pPr>
      <w:r>
        <w:t>Таблица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Title"/>
        <w:jc w:val="center"/>
      </w:pPr>
      <w:r>
        <w:t>Индикаторы</w:t>
      </w:r>
    </w:p>
    <w:p w:rsidR="00953BB2" w:rsidRDefault="00953BB2">
      <w:pPr>
        <w:pStyle w:val="ConsPlusTitle"/>
        <w:jc w:val="center"/>
      </w:pPr>
      <w:r>
        <w:t>социальной эффективности инвестиционных проектов</w:t>
      </w:r>
    </w:p>
    <w:p w:rsidR="00953BB2" w:rsidRDefault="00953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78"/>
        <w:gridCol w:w="5669"/>
        <w:gridCol w:w="1361"/>
      </w:tblGrid>
      <w:tr w:rsidR="00953BB2">
        <w:tc>
          <w:tcPr>
            <w:tcW w:w="510" w:type="dxa"/>
          </w:tcPr>
          <w:p w:rsidR="00953BB2" w:rsidRDefault="00953BB2">
            <w:pPr>
              <w:pStyle w:val="ConsPlusNormal"/>
              <w:jc w:val="center"/>
            </w:pPr>
            <w:r>
              <w:t>NN</w:t>
            </w:r>
          </w:p>
          <w:p w:rsidR="00953BB2" w:rsidRDefault="00953BB2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78" w:type="dxa"/>
          </w:tcPr>
          <w:p w:rsidR="00953BB2" w:rsidRDefault="00953BB2">
            <w:pPr>
              <w:pStyle w:val="ConsPlusNormal"/>
              <w:jc w:val="center"/>
            </w:pPr>
            <w:r>
              <w:t>Код индикатора</w:t>
            </w:r>
          </w:p>
        </w:tc>
        <w:tc>
          <w:tcPr>
            <w:tcW w:w="5669" w:type="dxa"/>
          </w:tcPr>
          <w:p w:rsidR="00953BB2" w:rsidRDefault="00953BB2">
            <w:pPr>
              <w:pStyle w:val="ConsPlusNormal"/>
              <w:jc w:val="center"/>
            </w:pPr>
            <w:r>
              <w:t>Наименование индикатора, условие</w:t>
            </w:r>
          </w:p>
        </w:tc>
        <w:tc>
          <w:tcPr>
            <w:tcW w:w="1361" w:type="dxa"/>
          </w:tcPr>
          <w:p w:rsidR="00953BB2" w:rsidRDefault="00953BB2">
            <w:pPr>
              <w:pStyle w:val="ConsPlusNormal"/>
              <w:jc w:val="center"/>
            </w:pPr>
            <w:r>
              <w:t>Значение индикатора</w:t>
            </w:r>
          </w:p>
        </w:tc>
      </w:tr>
      <w:tr w:rsidR="00953BB2">
        <w:tc>
          <w:tcPr>
            <w:tcW w:w="510" w:type="dxa"/>
            <w:vMerge w:val="restart"/>
          </w:tcPr>
          <w:p w:rsidR="00953BB2" w:rsidRDefault="00953BB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78" w:type="dxa"/>
            <w:vMerge w:val="restart"/>
          </w:tcPr>
          <w:p w:rsidR="00953BB2" w:rsidRDefault="00953BB2">
            <w:pPr>
              <w:pStyle w:val="ConsPlusNormal"/>
              <w:jc w:val="center"/>
            </w:pPr>
            <w:r>
              <w:t>И</w:t>
            </w:r>
            <w:r>
              <w:rPr>
                <w:vertAlign w:val="subscript"/>
              </w:rPr>
              <w:t>1</w:t>
            </w:r>
          </w:p>
        </w:tc>
        <w:tc>
          <w:tcPr>
            <w:tcW w:w="5669" w:type="dxa"/>
          </w:tcPr>
          <w:p w:rsidR="00953BB2" w:rsidRDefault="00953BB2">
            <w:pPr>
              <w:pStyle w:val="ConsPlusNormal"/>
            </w:pPr>
            <w:r>
              <w:t>Соответствует приоритетам, целям, задачам и направлениям документов стратегического планирования</w:t>
            </w:r>
          </w:p>
        </w:tc>
        <w:tc>
          <w:tcPr>
            <w:tcW w:w="1361" w:type="dxa"/>
          </w:tcPr>
          <w:p w:rsidR="00953BB2" w:rsidRDefault="00953BB2">
            <w:pPr>
              <w:pStyle w:val="ConsPlusNormal"/>
              <w:jc w:val="center"/>
            </w:pPr>
            <w:r>
              <w:t>1</w:t>
            </w:r>
          </w:p>
        </w:tc>
      </w:tr>
      <w:tr w:rsidR="00953BB2">
        <w:tc>
          <w:tcPr>
            <w:tcW w:w="510" w:type="dxa"/>
            <w:vMerge/>
          </w:tcPr>
          <w:p w:rsidR="00953BB2" w:rsidRDefault="00953BB2">
            <w:pPr>
              <w:pStyle w:val="ConsPlusNormal"/>
            </w:pPr>
          </w:p>
        </w:tc>
        <w:tc>
          <w:tcPr>
            <w:tcW w:w="1378" w:type="dxa"/>
            <w:vMerge/>
          </w:tcPr>
          <w:p w:rsidR="00953BB2" w:rsidRDefault="00953BB2">
            <w:pPr>
              <w:pStyle w:val="ConsPlusNormal"/>
            </w:pPr>
          </w:p>
        </w:tc>
        <w:tc>
          <w:tcPr>
            <w:tcW w:w="5669" w:type="dxa"/>
          </w:tcPr>
          <w:p w:rsidR="00953BB2" w:rsidRDefault="00953BB2">
            <w:pPr>
              <w:pStyle w:val="ConsPlusNormal"/>
            </w:pPr>
            <w:r>
              <w:t>Не соответствует приоритетам, целям, задачам и направлениям документов стратегического планирования</w:t>
            </w:r>
          </w:p>
        </w:tc>
        <w:tc>
          <w:tcPr>
            <w:tcW w:w="1361" w:type="dxa"/>
          </w:tcPr>
          <w:p w:rsidR="00953BB2" w:rsidRDefault="00953BB2">
            <w:pPr>
              <w:pStyle w:val="ConsPlusNormal"/>
              <w:jc w:val="center"/>
            </w:pPr>
            <w:r>
              <w:t>0</w:t>
            </w:r>
          </w:p>
        </w:tc>
      </w:tr>
      <w:tr w:rsidR="00953BB2">
        <w:tc>
          <w:tcPr>
            <w:tcW w:w="510" w:type="dxa"/>
            <w:vMerge w:val="restart"/>
          </w:tcPr>
          <w:p w:rsidR="00953BB2" w:rsidRDefault="00953BB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78" w:type="dxa"/>
            <w:vMerge w:val="restart"/>
          </w:tcPr>
          <w:p w:rsidR="00953BB2" w:rsidRDefault="00953BB2">
            <w:pPr>
              <w:pStyle w:val="ConsPlusNormal"/>
              <w:jc w:val="center"/>
            </w:pPr>
            <w:r>
              <w:t>И</w:t>
            </w:r>
            <w:r>
              <w:rPr>
                <w:vertAlign w:val="subscript"/>
              </w:rPr>
              <w:t>2</w:t>
            </w:r>
          </w:p>
        </w:tc>
        <w:tc>
          <w:tcPr>
            <w:tcW w:w="5669" w:type="dxa"/>
          </w:tcPr>
          <w:p w:rsidR="00953BB2" w:rsidRDefault="00953BB2">
            <w:pPr>
              <w:pStyle w:val="ConsPlusNormal"/>
            </w:pPr>
            <w:r>
              <w:t>Планируется создание 100 и более рабочих мест в рамках реализации инвестиционного проекта</w:t>
            </w:r>
          </w:p>
        </w:tc>
        <w:tc>
          <w:tcPr>
            <w:tcW w:w="1361" w:type="dxa"/>
          </w:tcPr>
          <w:p w:rsidR="00953BB2" w:rsidRDefault="00953BB2">
            <w:pPr>
              <w:pStyle w:val="ConsPlusNormal"/>
              <w:jc w:val="center"/>
            </w:pPr>
            <w:r>
              <w:t>1</w:t>
            </w:r>
          </w:p>
        </w:tc>
      </w:tr>
      <w:tr w:rsidR="00953BB2">
        <w:tc>
          <w:tcPr>
            <w:tcW w:w="510" w:type="dxa"/>
            <w:vMerge/>
          </w:tcPr>
          <w:p w:rsidR="00953BB2" w:rsidRDefault="00953BB2">
            <w:pPr>
              <w:pStyle w:val="ConsPlusNormal"/>
            </w:pPr>
          </w:p>
        </w:tc>
        <w:tc>
          <w:tcPr>
            <w:tcW w:w="1378" w:type="dxa"/>
            <w:vMerge/>
          </w:tcPr>
          <w:p w:rsidR="00953BB2" w:rsidRDefault="00953BB2">
            <w:pPr>
              <w:pStyle w:val="ConsPlusNormal"/>
            </w:pPr>
          </w:p>
        </w:tc>
        <w:tc>
          <w:tcPr>
            <w:tcW w:w="5669" w:type="dxa"/>
          </w:tcPr>
          <w:p w:rsidR="00953BB2" w:rsidRDefault="00953BB2">
            <w:pPr>
              <w:pStyle w:val="ConsPlusNormal"/>
            </w:pPr>
            <w:r>
              <w:t>Планируется создание менее 100 рабочих мест в рамках реализации инвестиционного проекта</w:t>
            </w:r>
          </w:p>
        </w:tc>
        <w:tc>
          <w:tcPr>
            <w:tcW w:w="1361" w:type="dxa"/>
          </w:tcPr>
          <w:p w:rsidR="00953BB2" w:rsidRDefault="00953BB2">
            <w:pPr>
              <w:pStyle w:val="ConsPlusNormal"/>
              <w:jc w:val="center"/>
            </w:pPr>
            <w:r>
              <w:t>0</w:t>
            </w:r>
          </w:p>
        </w:tc>
      </w:tr>
      <w:tr w:rsidR="00953BB2">
        <w:tc>
          <w:tcPr>
            <w:tcW w:w="510" w:type="dxa"/>
            <w:vMerge w:val="restart"/>
          </w:tcPr>
          <w:p w:rsidR="00953BB2" w:rsidRDefault="00953BB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378" w:type="dxa"/>
            <w:vMerge w:val="restart"/>
          </w:tcPr>
          <w:p w:rsidR="00953BB2" w:rsidRDefault="00953BB2">
            <w:pPr>
              <w:pStyle w:val="ConsPlusNormal"/>
              <w:jc w:val="center"/>
            </w:pPr>
            <w:r>
              <w:t>И</w:t>
            </w:r>
            <w:r>
              <w:rPr>
                <w:vertAlign w:val="subscript"/>
              </w:rPr>
              <w:t>3</w:t>
            </w:r>
          </w:p>
        </w:tc>
        <w:tc>
          <w:tcPr>
            <w:tcW w:w="5669" w:type="dxa"/>
          </w:tcPr>
          <w:p w:rsidR="00953BB2" w:rsidRDefault="00953BB2">
            <w:pPr>
              <w:pStyle w:val="ConsPlusNormal"/>
            </w:pPr>
            <w:r>
              <w:t>Уровень заработной платы в рамках реализации инвестиционного проекта выше или равен средней заработной плате по Рязанской области в соответствующей отрасли (статистические данные на последнюю отчетную дату)</w:t>
            </w:r>
          </w:p>
        </w:tc>
        <w:tc>
          <w:tcPr>
            <w:tcW w:w="1361" w:type="dxa"/>
          </w:tcPr>
          <w:p w:rsidR="00953BB2" w:rsidRDefault="00953BB2">
            <w:pPr>
              <w:pStyle w:val="ConsPlusNormal"/>
              <w:jc w:val="center"/>
            </w:pPr>
            <w:r>
              <w:t>1</w:t>
            </w:r>
          </w:p>
        </w:tc>
      </w:tr>
      <w:tr w:rsidR="00953BB2">
        <w:tc>
          <w:tcPr>
            <w:tcW w:w="510" w:type="dxa"/>
            <w:vMerge/>
          </w:tcPr>
          <w:p w:rsidR="00953BB2" w:rsidRDefault="00953BB2">
            <w:pPr>
              <w:pStyle w:val="ConsPlusNormal"/>
            </w:pPr>
          </w:p>
        </w:tc>
        <w:tc>
          <w:tcPr>
            <w:tcW w:w="1378" w:type="dxa"/>
            <w:vMerge/>
          </w:tcPr>
          <w:p w:rsidR="00953BB2" w:rsidRDefault="00953BB2">
            <w:pPr>
              <w:pStyle w:val="ConsPlusNormal"/>
            </w:pPr>
          </w:p>
        </w:tc>
        <w:tc>
          <w:tcPr>
            <w:tcW w:w="5669" w:type="dxa"/>
          </w:tcPr>
          <w:p w:rsidR="00953BB2" w:rsidRDefault="00953BB2">
            <w:pPr>
              <w:pStyle w:val="ConsPlusNormal"/>
            </w:pPr>
            <w:r>
              <w:t>Уровень заработной платы в рамках реализации инвестиционного проекта ниже средней заработной платы по Рязанской области в соответствующей отрасли (статистические данные на последнюю отчетную дату)</w:t>
            </w:r>
          </w:p>
        </w:tc>
        <w:tc>
          <w:tcPr>
            <w:tcW w:w="1361" w:type="dxa"/>
          </w:tcPr>
          <w:p w:rsidR="00953BB2" w:rsidRDefault="00953BB2">
            <w:pPr>
              <w:pStyle w:val="ConsPlusNormal"/>
              <w:jc w:val="center"/>
            </w:pPr>
            <w:r>
              <w:t>0</w:t>
            </w:r>
          </w:p>
        </w:tc>
      </w:tr>
    </w:tbl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ind w:firstLine="540"/>
        <w:jc w:val="both"/>
      </w:pPr>
      <w:r>
        <w:t>Расчет и оценку социальной эффективности инвестиционного проекта по формуле проводит отраслевой орган на основании сведений, представленных инвестором.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 xml:space="preserve">Положительное заключение по инвестиционному проекту дается при условии значения </w:t>
      </w:r>
      <w:r>
        <w:lastRenderedPageBreak/>
        <w:t>критерия социальной эффективности (К</w:t>
      </w:r>
      <w:r>
        <w:rPr>
          <w:vertAlign w:val="subscript"/>
        </w:rPr>
        <w:t>СЭ</w:t>
      </w:r>
      <w:r>
        <w:t>) &gt;= 2.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3.3. Под экономической эффективностью инвестиционного проекта понимается результативность экономической деятельности, определяемая отношением полученного экономического эффекта (результата) к затратам, обусловившим получение этого эффекта.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Расчет критерия экономической эффективности инвестиционного проекта проводится по формуле: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181100" cy="4572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ind w:firstLine="540"/>
        <w:jc w:val="both"/>
      </w:pPr>
      <w:r>
        <w:t>где: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К</w:t>
      </w:r>
      <w:r>
        <w:rPr>
          <w:vertAlign w:val="subscript"/>
        </w:rPr>
        <w:t>ЭФ</w:t>
      </w:r>
      <w:r>
        <w:t xml:space="preserve"> - экономический эффект от реализации инвестиционного проекта, рублей;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П</w:t>
      </w:r>
      <w:r>
        <w:rPr>
          <w:vertAlign w:val="subscript"/>
        </w:rPr>
        <w:t>i</w:t>
      </w:r>
      <w:r>
        <w:t xml:space="preserve"> - объем ожидаемых совокупных поступлений денежных средств в процессе инвестиционной, основной и финансовой деятельности, связанной с реализацией проекта за i-й год;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Р</w:t>
      </w:r>
      <w:r>
        <w:rPr>
          <w:vertAlign w:val="subscript"/>
        </w:rPr>
        <w:t>i</w:t>
      </w:r>
      <w:r>
        <w:t xml:space="preserve"> - объем ожидаемых расходов денежных средств в процессе инвестиционной, основной и финансовой деятельности, связанной с реализацией проекта за i-й год;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К</w:t>
      </w:r>
      <w:r>
        <w:rPr>
          <w:vertAlign w:val="subscript"/>
        </w:rPr>
        <w:t>с</w:t>
      </w:r>
      <w:r>
        <w:t xml:space="preserve"> - ключевая ставка Банка России на дату проведения расчетов;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n - временной период действия соглашения.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Расчет и оценку экономической эффективности инвестиционного проекта проводит уполномоченный орган на основании сведений, представленных инвестором.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Положительное заключение по инвестиционному проекту дается при условии значения критерия экономической эффективности (К</w:t>
      </w:r>
      <w:r>
        <w:rPr>
          <w:vertAlign w:val="subscript"/>
        </w:rPr>
        <w:t>ЭФ</w:t>
      </w:r>
      <w:r>
        <w:t>) &gt;= 0.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3.4. Под бюджетной эффективностью инвестиционного проекта понимается влияние результатов реализуемого проекта на доходы консолидированного бюджета Рязанской области.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Расчет критерия бюджетной эффективности от реализации инвестиционного проекта проводится по формуле: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685925" cy="4572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ind w:firstLine="540"/>
        <w:jc w:val="both"/>
      </w:pPr>
      <w:r>
        <w:t>где: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К</w:t>
      </w:r>
      <w:r>
        <w:rPr>
          <w:vertAlign w:val="subscript"/>
        </w:rPr>
        <w:t>бэф</w:t>
      </w:r>
      <w:r>
        <w:t xml:space="preserve"> - бюджетный эффект от реализации инвестиционного проекта, рублей;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Д</w:t>
      </w:r>
      <w:r>
        <w:rPr>
          <w:vertAlign w:val="subscript"/>
        </w:rPr>
        <w:t>i</w:t>
      </w:r>
      <w:r>
        <w:t xml:space="preserve"> - поступления в консолидированный бюджет от реализации проекта за i-й год;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РБ</w:t>
      </w:r>
      <w:r>
        <w:rPr>
          <w:vertAlign w:val="subscript"/>
        </w:rPr>
        <w:t>i</w:t>
      </w:r>
      <w:r>
        <w:t xml:space="preserve"> - средства, направляемые из бюджета Рязанской области, на реализацию и эксплуатацию проекта в i-м году (субсидии, гранты);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НР</w:t>
      </w:r>
      <w:r>
        <w:rPr>
          <w:vertAlign w:val="subscript"/>
        </w:rPr>
        <w:t>i</w:t>
      </w:r>
      <w:r>
        <w:t xml:space="preserve"> - налоговые расходы, обусловленные налоговыми льготами (пониженными ставками), установленными законодательством Рязанской области о налогах и сборах;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К</w:t>
      </w:r>
      <w:r>
        <w:rPr>
          <w:vertAlign w:val="subscript"/>
        </w:rPr>
        <w:t>с</w:t>
      </w:r>
      <w:r>
        <w:t xml:space="preserve"> - ключевая ставка Банка России на дату проведения расчетов;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n - временной период действия соглашения.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Расчет и оценку критерия бюджетной эффективности инвестиционного проекта проводит министерство финансов Рязанской области на основании расчетов, представленных инвестором.</w:t>
      </w:r>
    </w:p>
    <w:p w:rsidR="00953BB2" w:rsidRDefault="00953BB2">
      <w:pPr>
        <w:pStyle w:val="ConsPlusNormal"/>
        <w:spacing w:before="200"/>
        <w:ind w:firstLine="540"/>
        <w:jc w:val="both"/>
      </w:pPr>
      <w:r>
        <w:t>Положительное заключение по инвестиционному проекту дается при условии значения критерия бюджетной эффективности (К</w:t>
      </w:r>
      <w:r>
        <w:rPr>
          <w:vertAlign w:val="subscript"/>
        </w:rPr>
        <w:t>бэф</w:t>
      </w:r>
      <w:r>
        <w:t>) &gt;= 0.</w:t>
      </w: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jc w:val="both"/>
      </w:pPr>
    </w:p>
    <w:p w:rsidR="00953BB2" w:rsidRDefault="00953B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335E" w:rsidRDefault="00B6335E">
      <w:bookmarkStart w:id="1" w:name="_GoBack"/>
      <w:bookmarkEnd w:id="1"/>
    </w:p>
    <w:sectPr w:rsidR="00B6335E" w:rsidSect="0070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B2"/>
    <w:rsid w:val="00953BB2"/>
    <w:rsid w:val="00B6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B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53B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53B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B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53B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53B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E827F8116BD492FBDB5422B843267F556996ADB1033E5BDAABE5DD381E7C1E9C2153D935D8C35E6A771006C74BE9EEA659E2E5A198D5D328E49869Y1t8P" TargetMode="External"/><Relationship Id="rId13" Type="http://schemas.openxmlformats.org/officeDocument/2006/relationships/hyperlink" Target="consultantplus://offline/ref=D9E827F8116BD492FBDB4A2FAE2F78755261C9A9B40D310583FCE38A674E7A4BDC61558C769CC85D6E7C44578B15B0BEE712EFE6BA84D5D3Y3t5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E827F8116BD492FBDB4A2FAE2F78755260CEA8B501310583FCE38A674E7A4BDC61558C769CCE5E6C7C44578B15B0BEE712EFE6BA84D5D3Y3t5P" TargetMode="External"/><Relationship Id="rId12" Type="http://schemas.openxmlformats.org/officeDocument/2006/relationships/hyperlink" Target="consultantplus://offline/ref=D9E827F8116BD492FBDB4A2FAE2F78755261C9A9B40D310583FCE38A674E7A4BDC61558C769CCE596D7C44578B15B0BEE712EFE6BA84D5D3Y3t5P" TargetMode="External"/><Relationship Id="rId1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D9E827F8116BD492FBDB4A2FAE2F78755261C9A9B40D310583FCE38A674E7A4BDC61558C769CCE59627C44578B15B0BEE712EFE6BA84D5D3Y3t5P" TargetMode="External"/><Relationship Id="rId11" Type="http://schemas.openxmlformats.org/officeDocument/2006/relationships/hyperlink" Target="consultantplus://offline/ref=D9E827F8116BD492FBDB4A2FAE2F78755261C9A9B40D310583FCE38A674E7A4BDC61558C769CCF5B687C44578B15B0BEE712EFE6BA84D5D3Y3t5P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9E827F8116BD492FBDB4A2FAE2F78755261C9A9B40D310583FCE38A674E7A4BCE610D807799D05F68691206CDY4t3P" TargetMode="External"/><Relationship Id="rId10" Type="http://schemas.openxmlformats.org/officeDocument/2006/relationships/hyperlink" Target="consultantplus://offline/ref=D9E827F8116BD492FBDB4A2FAE2F78755261C9A9B40D310583FCE38A674E7A4BDC61558C769CC85D6E7C44578B15B0BEE712EFE6BA84D5D3Y3t5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E827F8116BD492FBDB4A2FAE2F78755261C9A9B40D310583FCE38A674E7A4BDC61558C769CCE59627C44578B15B0BEE712EFE6BA84D5D3Y3t5P" TargetMode="External"/><Relationship Id="rId14" Type="http://schemas.openxmlformats.org/officeDocument/2006/relationships/hyperlink" Target="consultantplus://offline/ref=D9E827F8116BD492FBDB4A2FAE2F78755261C9A9B40D310583FCE38A674E7A4BDC61558C769CC85D6E7C44578B15B0BEE712EFE6BA84D5D3Y3t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1831</Words>
  <Characters>10442</Characters>
  <Application>Microsoft Office Word</Application>
  <DocSecurity>0</DocSecurity>
  <Lines>87</Lines>
  <Paragraphs>24</Paragraphs>
  <ScaleCrop>false</ScaleCrop>
  <Company/>
  <LinksUpToDate>false</LinksUpToDate>
  <CharactersWithSpaces>12249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Lazareva</cp:lastModifiedBy>
  <cp:revision>1</cp:revision>
  <dcterms:created xsi:type="dcterms:W3CDTF">2023-02-15T15:45:00Z</dcterms:created>
  <dcterms:modified xsi:type="dcterms:W3CDTF">2023-02-15T15:45:00Z</dcterms:modified>
</cp:coreProperties>
</file>