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03" w:rsidRDefault="0074750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7503" w:rsidRDefault="007475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475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7503" w:rsidRDefault="00747503">
            <w:pPr>
              <w:pStyle w:val="ConsPlusNormal"/>
            </w:pPr>
            <w:r>
              <w:t>8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7503" w:rsidRDefault="00747503">
            <w:pPr>
              <w:pStyle w:val="ConsPlusNormal"/>
              <w:jc w:val="right"/>
            </w:pPr>
            <w:r>
              <w:t>N 75-ОЗ</w:t>
            </w:r>
          </w:p>
        </w:tc>
      </w:tr>
    </w:tbl>
    <w:p w:rsidR="00747503" w:rsidRDefault="007475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jc w:val="center"/>
      </w:pPr>
      <w:r>
        <w:t>ЗАКОН</w:t>
      </w:r>
    </w:p>
    <w:p w:rsidR="00747503" w:rsidRDefault="00747503">
      <w:pPr>
        <w:pStyle w:val="ConsPlusTitle"/>
        <w:jc w:val="center"/>
      </w:pPr>
      <w:r>
        <w:t>РЯЗАНСКОЙ ОБЛАСТИ</w:t>
      </w:r>
    </w:p>
    <w:p w:rsidR="00747503" w:rsidRDefault="00747503">
      <w:pPr>
        <w:pStyle w:val="ConsPlusTitle"/>
        <w:jc w:val="center"/>
      </w:pPr>
    </w:p>
    <w:p w:rsidR="00747503" w:rsidRDefault="00747503">
      <w:pPr>
        <w:pStyle w:val="ConsPlusTitle"/>
        <w:jc w:val="center"/>
      </w:pPr>
      <w:r>
        <w:t>О ПОРЯДКЕ ПРЕДОСТАВЛЕНИЯ ГОСУДАРСТВЕННЫХ ГАРАНТИЙ</w:t>
      </w:r>
    </w:p>
    <w:p w:rsidR="00747503" w:rsidRDefault="00747503">
      <w:pPr>
        <w:pStyle w:val="ConsPlusTitle"/>
        <w:jc w:val="center"/>
      </w:pPr>
      <w:r>
        <w:t>РЯЗАНСКОЙ ОБЛАСТИ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747503" w:rsidRDefault="00747503">
      <w:pPr>
        <w:pStyle w:val="ConsPlusNormal"/>
        <w:jc w:val="right"/>
      </w:pPr>
      <w:r>
        <w:t>Рязанской областной Думой</w:t>
      </w:r>
    </w:p>
    <w:p w:rsidR="00747503" w:rsidRDefault="00747503">
      <w:pPr>
        <w:pStyle w:val="ConsPlusNormal"/>
        <w:jc w:val="right"/>
      </w:pPr>
      <w:r>
        <w:t>27 сентября 2021 года</w:t>
      </w:r>
    </w:p>
    <w:p w:rsidR="00747503" w:rsidRDefault="007475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75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03" w:rsidRDefault="007475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03" w:rsidRDefault="007475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7503" w:rsidRDefault="00747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7503" w:rsidRDefault="007475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</w:t>
            </w:r>
          </w:p>
          <w:p w:rsidR="00747503" w:rsidRDefault="00747503">
            <w:pPr>
              <w:pStyle w:val="ConsPlusNormal"/>
              <w:jc w:val="center"/>
            </w:pPr>
            <w:r>
              <w:rPr>
                <w:color w:val="392C69"/>
              </w:rPr>
              <w:t>от 02.03.2023 N 23-ОЗ)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503" w:rsidRDefault="00747503">
            <w:pPr>
              <w:pStyle w:val="ConsPlusNormal"/>
            </w:pPr>
          </w:p>
        </w:tc>
      </w:tr>
    </w:tbl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t xml:space="preserve">Настоящий Закон в соответствии с Бюджетным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 регулирует порядок предоставления государственных гарантий Рязанской области (далее - государственные гарантии).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2. Порядок рассмотрения обращения о предоставлении государственной гарантии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bookmarkStart w:id="0" w:name="P23"/>
      <w:bookmarkEnd w:id="0"/>
      <w:r>
        <w:t>1. Юридическое лицо, публично-правовое образование, претендующие на получение государственной гарантии (далее - принципал), и (или) бенефициар представляют в Правительство Рязанской области заявление о предоставлении государственной гарантии с указанием: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1) предполагаемой суммы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2) предполагаемого срока действия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3) объема ответственности гаранта по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4) цели привлечения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5) сведений о предполагаемом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государственной гарантии в случае предоставления государственной гарантии с условием предъявления регрессных требований гаранта к принципалу.</w:t>
      </w:r>
    </w:p>
    <w:p w:rsidR="00747503" w:rsidRDefault="00747503">
      <w:pPr>
        <w:pStyle w:val="ConsPlusNormal"/>
        <w:spacing w:before="200"/>
        <w:ind w:firstLine="540"/>
        <w:jc w:val="both"/>
      </w:pPr>
      <w:bookmarkStart w:id="1" w:name="P29"/>
      <w:bookmarkEnd w:id="1"/>
      <w:r>
        <w:t>2. К заявлению на предоставление государственной гарантии должны быть приложены документы согласно перечню, утвержденному Правительством Рязанской области.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3. Правительство Рязанской области в течение трех рабочих дней со дня получения заявления и представленных документов направляет их в исполнительный орган Рязанской области, уполномоченный в сфере деятельности, на цели развития которой предоставляется государственная гарантия (далее - исполнительный орган Рязанской области).</w:t>
      </w:r>
    </w:p>
    <w:p w:rsidR="00747503" w:rsidRDefault="00747503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Рязанской области от 02.03.2023 N 23-ОЗ)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4. В случае несоответствия заявления требованиям, установленным </w:t>
      </w:r>
      <w:hyperlink w:anchor="P23">
        <w:r>
          <w:rPr>
            <w:color w:val="0000FF"/>
          </w:rPr>
          <w:t>частью 1</w:t>
        </w:r>
      </w:hyperlink>
      <w:r>
        <w:t xml:space="preserve"> настоящей статьи, и (или) непредставления или представления не в полном объеме документов, указанных в </w:t>
      </w:r>
      <w:hyperlink w:anchor="P29">
        <w:r>
          <w:rPr>
            <w:color w:val="0000FF"/>
          </w:rPr>
          <w:t>части 2</w:t>
        </w:r>
      </w:hyperlink>
      <w:r>
        <w:t xml:space="preserve"> настоящей статьи, вопрос о предоставлении государственной гарантии не рассматривается, а представленные документы подлежат возврату принципалу.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5. Исполнительный орган Рязанской области в течение десяти рабочих дней со дня получения заявления и представленных документов рассматривает их и готовит заключение о </w:t>
      </w:r>
      <w:r>
        <w:lastRenderedPageBreak/>
        <w:t>целесообразности или нецелесообразности предоставления государственной гарантии.</w:t>
      </w:r>
    </w:p>
    <w:p w:rsidR="00747503" w:rsidRDefault="0074750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Рязанской области от 02.03.2023 N 23-ОЗ)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6. В случае подготовки заключения о нецелесообразности предоставления государственной гарантии исполнительный орган Рязанской области направляет указанное заключение одновременно с представленными документами в Правительство Рязанской области.</w:t>
      </w:r>
    </w:p>
    <w:p w:rsidR="00747503" w:rsidRDefault="0074750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Рязанской области от 02.03.2023 N 23-ОЗ)</w:t>
      </w:r>
    </w:p>
    <w:p w:rsidR="00747503" w:rsidRDefault="00747503">
      <w:pPr>
        <w:pStyle w:val="ConsPlusNormal"/>
        <w:spacing w:before="200"/>
        <w:ind w:firstLine="540"/>
        <w:jc w:val="both"/>
      </w:pPr>
      <w:bookmarkStart w:id="2" w:name="P37"/>
      <w:bookmarkEnd w:id="2"/>
      <w:r>
        <w:t>7. В случае подготовки заключения о целесообразности предоставления государственной гарантии исполнительный орган Рязанской области направляет указанное заключение одновременно с представленными документами в уполномоченный Правительством Рязанской области исполнительный орган Рязанской области (далее - уполномоченный орган).</w:t>
      </w:r>
    </w:p>
    <w:p w:rsidR="00747503" w:rsidRDefault="0074750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Рязанской области от 02.03.2023 N 23-ОЗ)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8. Уполномоченный орган на основании документов, указанных в </w:t>
      </w:r>
      <w:hyperlink w:anchor="P23">
        <w:r>
          <w:rPr>
            <w:color w:val="0000FF"/>
          </w:rPr>
          <w:t>частях 1</w:t>
        </w:r>
      </w:hyperlink>
      <w:r>
        <w:t xml:space="preserve">, </w:t>
      </w:r>
      <w:hyperlink w:anchor="P29">
        <w:r>
          <w:rPr>
            <w:color w:val="0000FF"/>
          </w:rPr>
          <w:t>2</w:t>
        </w:r>
      </w:hyperlink>
      <w:r>
        <w:t xml:space="preserve"> и </w:t>
      </w:r>
      <w:hyperlink w:anchor="P37">
        <w:r>
          <w:rPr>
            <w:color w:val="0000FF"/>
          </w:rPr>
          <w:t>7</w:t>
        </w:r>
      </w:hyperlink>
      <w:r>
        <w:t xml:space="preserve"> настоящей статьи, осуществляет проверку соблюдения принципалом условий и требований, предусмотренных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проводит анализ финансового состояния принципала, проверку достаточности, надежности и ликвидности обеспечения, предоставляемого в соответствии с абзацем третьим </w:t>
      </w:r>
      <w:hyperlink r:id="rId13">
        <w:r>
          <w:rPr>
            <w:color w:val="0000FF"/>
          </w:rPr>
          <w:t>пункта 1</w:t>
        </w:r>
      </w:hyperlink>
      <w:hyperlink r:id="rId14">
        <w:r>
          <w:rPr>
            <w:color w:val="0000FF"/>
            <w:vertAlign w:val="superscript"/>
          </w:rPr>
          <w:t>1</w:t>
        </w:r>
      </w:hyperlink>
      <w:hyperlink r:id="rId15">
        <w:r>
          <w:rPr>
            <w:color w:val="0000FF"/>
          </w:rPr>
          <w:t xml:space="preserve"> статьи 115</w:t>
        </w:r>
      </w:hyperlink>
      <w:hyperlink r:id="rId16">
        <w:r>
          <w:rPr>
            <w:color w:val="0000FF"/>
            <w:vertAlign w:val="superscript"/>
          </w:rPr>
          <w:t>2</w:t>
        </w:r>
      </w:hyperlink>
      <w:r>
        <w:t xml:space="preserve"> Бюджетного кодекса Российской Федерации, а также осуществляет оценку надежности банковской гарантии, поручительства.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9. Уполномоченный орган в течение десяти рабочих дней со дня поступления заключения, указанного в </w:t>
      </w:r>
      <w:hyperlink w:anchor="P37">
        <w:r>
          <w:rPr>
            <w:color w:val="0000FF"/>
          </w:rPr>
          <w:t>части 7</w:t>
        </w:r>
      </w:hyperlink>
      <w:r>
        <w:t xml:space="preserve"> настоящей статьи, и представленных документов готовит заключение о возможности либо невозможности предоставления государственной гарантии и направляет его и представленные документы в Правительство Рязанской области.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10. Анализ финансового состояния принципала, проверка достаточности, надежности и ликвидности обеспечения, а также оценка надежности банковской гарантии, поручительства осуществляются в порядке, установленном Правительством Рязанской области.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3. Решение о предоставлении или об отказе в предоставлении государственной гарантии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t>1. Решение о предоставлении или об отказе в предоставлении государственной гарантии принимается Правительством Рязанской области в форме распоряжения в течение десяти рабочих дней со дня получения документов от уполномоченного органа.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2. В решении о предоставлении государственной гарантии должны быть указаны: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1) наименование гаранта и наименование органа, выдавшего государственную гарантию от имени гаранта;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2) наименование бенефициара;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3) наименование принципала;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4) обязательство, в обеспечение которого выдается государственная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5) объем обязательств гаранта по государственной гарантии и предельная сумма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6) основания выдачи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7) дата вступления в силу государственной гарантии или событие (условие), с наступлением которого государственная гарантия вступает в силу;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8) срок действия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9) определение гарантийного случая, срок и порядок предъявления требования бенефициара об исполнении государственной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10) основания отзыва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lastRenderedPageBreak/>
        <w:t>11) порядок исполнения гарантом обязательств по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13) основания прекращения гарантии;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15) наличие или отсутствие права требования гаранта к принципалу о возмещении денежных средств, уплаченных гарантом бенефициару по государственной (муниципальной) гарантии (регрессное требование гаранта к принципалу, регресс);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16) иные условия гарантии, а также сведения, определенные Бюджетным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нормативными правовыми актами гаранта, актами органа, выдающего гарантию от имени гаранта.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3. Основаниями принятия решения об отказе в предоставлении государственной гарантии являются: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1) заключение исполнительного органа Рязанской области о нецелесообразности предоставления государственной гарантии;</w:t>
      </w:r>
    </w:p>
    <w:p w:rsidR="00747503" w:rsidRDefault="0074750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Рязанской области от 02.03.2023 N 23-ОЗ)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2) заключение уполномоченного органа о невозможности предоставления государственной гарантии.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4. Порядок предоставления государственной гарантии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t xml:space="preserve">1. На основании решения Правительства Рязанской области о предоставлении государственной гарантии уполномоченный орган организует работу по оформлению государственной гарантии, проекта договора о предоставлении государственной гарантии и </w:t>
      </w:r>
      <w:proofErr w:type="gramStart"/>
      <w:r>
        <w:t>иных необходимых договоров</w:t>
      </w:r>
      <w:proofErr w:type="gramEnd"/>
      <w:r>
        <w:t xml:space="preserve"> и документов.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2. Правительство Рязанской области предоставляет государственную гарантию в письменной форме после заключения договора о предоставлении государственной гарантии и иных необходимых договоров.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3. При предоставлении государственной гарантии с правом регрессного требования принципал до выдачи государственной гарантии обязан предоставить обеспечение государственной гарантии. При отказе принципала предоставить обеспечение государственной гарантии государственная гарантия не выдается.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>4. Договор о предоставлении государственной гарантии заключается между Правительством Рязанской области, принципалом и бенефициаром. В случае предоставления государственной гарантии в обеспечение исполнения обязательств, по которым бенефициарами является неопределенный круг лиц, договор о предоставлении государственной гарантии заключается между Правительством Рязанской области и принципалом.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5.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государственной гарантии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t>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государственной гарантии осуществляется уполномоченным органом в порядке, установленном Правительством Рязанской области.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6. Признание утратившими силу отдельных законодательных актов (положений законодательных актов) Рязанской области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lastRenderedPageBreak/>
        <w:t>Со дня вступления в силу настоящего Закона признать утратившими силу: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1) </w:t>
      </w:r>
      <w:hyperlink r:id="rId19">
        <w:r>
          <w:rPr>
            <w:color w:val="0000FF"/>
          </w:rPr>
          <w:t>Закон</w:t>
        </w:r>
      </w:hyperlink>
      <w:r>
        <w:t xml:space="preserve"> Рязанской области от 6 августа 2008 года N 83-ОЗ "О предоставлении государственных гарантий Рязанской области";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2) </w:t>
      </w:r>
      <w:hyperlink r:id="rId20">
        <w:r>
          <w:rPr>
            <w:color w:val="0000FF"/>
          </w:rPr>
          <w:t>Закон</w:t>
        </w:r>
      </w:hyperlink>
      <w:r>
        <w:t xml:space="preserve"> Рязанской области от 7 ноября 2008 года N 158-ОЗ "О внесении изменений в статью 8 Закона Рязанской области "О предоставлении государственных гарантий Рязанской области";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3) </w:t>
      </w:r>
      <w:hyperlink r:id="rId21">
        <w:r>
          <w:rPr>
            <w:color w:val="0000FF"/>
          </w:rPr>
          <w:t>статью 7</w:t>
        </w:r>
      </w:hyperlink>
      <w:r>
        <w:t xml:space="preserve"> Закона Рязанской области от 10 февраля 2011 года N 4-ОЗ "О внесении изменений в отдельные законодательные акты Рязанской области";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4) </w:t>
      </w:r>
      <w:hyperlink r:id="rId22">
        <w:r>
          <w:rPr>
            <w:color w:val="0000FF"/>
          </w:rPr>
          <w:t>статью 40</w:t>
        </w:r>
      </w:hyperlink>
      <w:r>
        <w:t xml:space="preserve"> Закона Рязанской области от 12 апреля 2013 года N 12-ОЗ "О внесении изменений в некоторые законодательные акты Рязанской области";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5) </w:t>
      </w:r>
      <w:hyperlink r:id="rId23">
        <w:r>
          <w:rPr>
            <w:color w:val="0000FF"/>
          </w:rPr>
          <w:t>Закон</w:t>
        </w:r>
      </w:hyperlink>
      <w:r>
        <w:t xml:space="preserve"> Рязанской области от 30 августа 2013 года N 45-ОЗ "О внесении изменения в статью 5 Закона Рязанской области "О предоставлении государственных гарантий Рязанской области";</w:t>
      </w:r>
    </w:p>
    <w:p w:rsidR="00747503" w:rsidRDefault="00747503">
      <w:pPr>
        <w:pStyle w:val="ConsPlusNormal"/>
        <w:spacing w:before="200"/>
        <w:ind w:firstLine="540"/>
        <w:jc w:val="both"/>
      </w:pPr>
      <w:r>
        <w:t xml:space="preserve">6) </w:t>
      </w:r>
      <w:hyperlink r:id="rId24">
        <w:r>
          <w:rPr>
            <w:color w:val="0000FF"/>
          </w:rPr>
          <w:t>статью 7</w:t>
        </w:r>
      </w:hyperlink>
      <w:r>
        <w:t xml:space="preserve"> Закона Рязанской области от 5 марта 2018 года N 10-ОЗ "О внесении изменений в отдельные законодательные акты Рязанской области".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ind w:firstLine="540"/>
        <w:jc w:val="both"/>
      </w:pPr>
      <w:r>
        <w:t>Настоящий Закон вступает в силу на следующий день после его официального опубликования.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jc w:val="right"/>
      </w:pPr>
      <w:r>
        <w:t>Губернатор Рязанской области</w:t>
      </w:r>
    </w:p>
    <w:p w:rsidR="00747503" w:rsidRDefault="00747503">
      <w:pPr>
        <w:pStyle w:val="ConsPlusNormal"/>
        <w:jc w:val="right"/>
      </w:pPr>
      <w:r>
        <w:t>Н.В.ЛЮБИМОВ</w:t>
      </w:r>
    </w:p>
    <w:p w:rsidR="00747503" w:rsidRDefault="00747503">
      <w:pPr>
        <w:pStyle w:val="ConsPlusNormal"/>
      </w:pPr>
      <w:r>
        <w:t>8 октября 2021 года</w:t>
      </w:r>
    </w:p>
    <w:p w:rsidR="00747503" w:rsidRDefault="00747503">
      <w:pPr>
        <w:pStyle w:val="ConsPlusNormal"/>
        <w:spacing w:before="200"/>
      </w:pPr>
      <w:r>
        <w:t>N 75-ОЗ</w:t>
      </w: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jc w:val="both"/>
      </w:pPr>
    </w:p>
    <w:p w:rsidR="00747503" w:rsidRDefault="007475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5A" w:rsidRDefault="00747503">
      <w:bookmarkStart w:id="3" w:name="_GoBack"/>
      <w:bookmarkEnd w:id="3"/>
    </w:p>
    <w:sectPr w:rsidR="001E565A" w:rsidSect="0038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03"/>
    <w:rsid w:val="005A05B7"/>
    <w:rsid w:val="00747503"/>
    <w:rsid w:val="00C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68981-5F98-4962-97E3-28A40E1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475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47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1F315A1E0444CD42144DDA615CE5455B84224DA72B5CC75A99A4A425A756AD8CA24DCF1757B5EA54BB307EE8C034B3ABF7EF670C24A807E27DEA4CFAGBO" TargetMode="External"/><Relationship Id="rId13" Type="http://schemas.openxmlformats.org/officeDocument/2006/relationships/hyperlink" Target="consultantplus://offline/ref=0F1F315A1E0444CD42144DCC7230BB4F5C8B7847AC2250950FCDA2F37AF750F8CCE24B9E5111BEE000EA742BECCA68FCEFA7FC640438FAGBO" TargetMode="External"/><Relationship Id="rId18" Type="http://schemas.openxmlformats.org/officeDocument/2006/relationships/hyperlink" Target="consultantplus://offline/ref=0F1F315A1E0444CD42144DDA615CE5455B84224DA72B5CC75A99A4A425A756AD8CA24DCF1757B5EA54BB307FE3C034B3ABF7EF670C24A807E27DEA4CFAGB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1F315A1E0444CD42144DDA615CE5455B84224DAD275DCA5092F9AE2DFE5AAF8BAD12D8101EB9EB54BB337AEA9F31A6BAAFE36E1A3AAD1CFE7FE8F4GDO" TargetMode="External"/><Relationship Id="rId7" Type="http://schemas.openxmlformats.org/officeDocument/2006/relationships/hyperlink" Target="consultantplus://offline/ref=0F1F315A1E0444CD42144DCC7230BB4F5C8B7847AC2250950FCDA2F37AF750F8CCE24B985112B0E000EA742BECCA68FCEFA7FC640438FAGBO" TargetMode="External"/><Relationship Id="rId12" Type="http://schemas.openxmlformats.org/officeDocument/2006/relationships/hyperlink" Target="consultantplus://offline/ref=0F1F315A1E0444CD42144DCC7230BB4F5C8B7847AC2250950FCDA2F37AF750F8DEE21396551BA6EB51A5327EE3FCG8O" TargetMode="External"/><Relationship Id="rId17" Type="http://schemas.openxmlformats.org/officeDocument/2006/relationships/hyperlink" Target="consultantplus://offline/ref=0F1F315A1E0444CD42144DCC7230BB4F5C8B7847AC2250950FCDA2F37AF750F8DEE21396551BA6EB51A5327EE3FCG8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1F315A1E0444CD42144DCC7230BB4F5C8B7847AC2250950FCDA2F37AF750F8CCE24B9E5111BEE000EA742BECCA68FCEFA7FC640438FAGBO" TargetMode="External"/><Relationship Id="rId20" Type="http://schemas.openxmlformats.org/officeDocument/2006/relationships/hyperlink" Target="consultantplus://offline/ref=0F1F315A1E0444CD42144DDA615CE5455B84224DA02452C65192F9AE2DFE5AAF8BAD12CA1046B5EA5CA5307BFFC960E0FEG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1F315A1E0444CD42144DDA615CE5455B84224DA72B5CC75A99A4A425A756AD8CA24DCF1757B5EA54BB307EE6C034B3ABF7EF670C24A807E27DEA4CFAGBO" TargetMode="External"/><Relationship Id="rId11" Type="http://schemas.openxmlformats.org/officeDocument/2006/relationships/hyperlink" Target="consultantplus://offline/ref=0F1F315A1E0444CD42144DDA615CE5455B84224DA72B5CC75A99A4A425A756AD8CA24DCF1757B5EA54BB307FE0C034B3ABF7EF670C24A807E27DEA4CFAGBO" TargetMode="External"/><Relationship Id="rId24" Type="http://schemas.openxmlformats.org/officeDocument/2006/relationships/hyperlink" Target="consultantplus://offline/ref=0F1F315A1E0444CD42144DDA615CE5455B84224DA6265BC55698A4A425A756AD8CA24DCF1757B5EA54BB307CE4C034B3ABF7EF670C24A807E27DEA4CFAGBO" TargetMode="External"/><Relationship Id="rId5" Type="http://schemas.openxmlformats.org/officeDocument/2006/relationships/hyperlink" Target="consultantplus://offline/ref=0F1F315A1E0444CD42144DDA615CE5455B84224DA72759CA509EA4A425A756AD8CA24DCF0557EDE655B32E7EE4D562E2EDFAG1O" TargetMode="External"/><Relationship Id="rId15" Type="http://schemas.openxmlformats.org/officeDocument/2006/relationships/hyperlink" Target="consultantplus://offline/ref=0F1F315A1E0444CD42144DCC7230BB4F5C8B7847AC2250950FCDA2F37AF750F8CCE24B9E5111BEE000EA742BECCA68FCEFA7FC640438FAGBO" TargetMode="External"/><Relationship Id="rId23" Type="http://schemas.openxmlformats.org/officeDocument/2006/relationships/hyperlink" Target="consultantplus://offline/ref=0F1F315A1E0444CD42144DDA615CE5455B84224DA5205EC55791A4A425A756AD8CA24DCF0557EDE655B32E7EE4D562E2EDFAG1O" TargetMode="External"/><Relationship Id="rId10" Type="http://schemas.openxmlformats.org/officeDocument/2006/relationships/hyperlink" Target="consultantplus://offline/ref=0F1F315A1E0444CD42144DDA615CE5455B84224DA72B5CC75A99A4A425A756AD8CA24DCF1757B5EA54BB307FE0C034B3ABF7EF670C24A807E27DEA4CFAGBO" TargetMode="External"/><Relationship Id="rId19" Type="http://schemas.openxmlformats.org/officeDocument/2006/relationships/hyperlink" Target="consultantplus://offline/ref=0F1F315A1E0444CD42144DDA615CE5455B84224DA6265BC55B9AA4A425A756AD8CA24DCF0557EDE655B32E7EE4D562E2EDFAG1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F1F315A1E0444CD42144DDA615CE5455B84224DA72B5CC75A99A4A425A756AD8CA24DCF1757B5EA54BB307FE1C034B3ABF7EF670C24A807E27DEA4CFAGBO" TargetMode="External"/><Relationship Id="rId14" Type="http://schemas.openxmlformats.org/officeDocument/2006/relationships/hyperlink" Target="consultantplus://offline/ref=0F1F315A1E0444CD42144DCC7230BB4F5C8B7847AC2250950FCDA2F37AF750F8CCE24B9E5111BEE000EA742BECCA68FCEFA7FC640438FAGBO" TargetMode="External"/><Relationship Id="rId22" Type="http://schemas.openxmlformats.org/officeDocument/2006/relationships/hyperlink" Target="consultantplus://offline/ref=0F1F315A1E0444CD42144DDA615CE5455B84224DA72058C35198A4A425A756AD8CA24DCF1757B5EA54BB3177E5C034B3ABF7EF670C24A807E27DEA4CFAG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Шабакаев Дамир</dc:creator>
  <cp:keywords/>
  <dc:description/>
  <cp:lastModifiedBy>Шабакаев Дамир</cp:lastModifiedBy>
  <cp:revision>1</cp:revision>
  <dcterms:created xsi:type="dcterms:W3CDTF">2023-05-18T14:05:00Z</dcterms:created>
  <dcterms:modified xsi:type="dcterms:W3CDTF">2023-05-18T14:07:00Z</dcterms:modified>
</cp:coreProperties>
</file>